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widowControl/>
        <w:suppressLineNumbers w:val="0"/>
        <w:spacing w:before="0" w:beforeAutospacing="0" w:after="0" w:afterAutospacing="0" w:line="384" w:lineRule="atLeast"/>
        <w:ind w:left="0" w:right="0"/>
        <w:jc w:val="center"/>
      </w:pPr>
      <w:bookmarkStart w:id="0" w:name="_GoBack"/>
      <w:r>
        <w:rPr>
          <w:rStyle w:val="8"/>
          <w:rFonts w:ascii="Arial" w:hAnsi="Arial" w:cs="Arial"/>
          <w:b/>
          <w:bCs/>
          <w:i w:val="0"/>
          <w:iCs w:val="0"/>
          <w:caps w:val="0"/>
          <w:color w:val="333333"/>
          <w:spacing w:val="0"/>
          <w:sz w:val="19"/>
          <w:szCs w:val="19"/>
        </w:rPr>
        <w:t>2024年上海市教育督导工作要点</w:t>
      </w:r>
    </w:p>
    <w:bookmarkEnd w:id="0"/>
    <w:p>
      <w:pPr>
        <w:pStyle w:val="5"/>
        <w:keepNext w:val="0"/>
        <w:keepLines w:val="0"/>
        <w:widowControl/>
        <w:suppressLineNumbers w:val="0"/>
        <w:spacing w:before="0" w:beforeAutospacing="0" w:after="0" w:afterAutospacing="0" w:line="384" w:lineRule="atLeast"/>
        <w:ind w:left="0" w:right="0"/>
      </w:pPr>
      <w:r>
        <w:rPr>
          <w:rFonts w:hint="default" w:ascii="Arial" w:hAnsi="Arial" w:cs="Arial"/>
          <w:i w:val="0"/>
          <w:iCs w:val="0"/>
          <w:caps w:val="0"/>
          <w:color w:val="333333"/>
          <w:spacing w:val="0"/>
          <w:sz w:val="19"/>
          <w:szCs w:val="19"/>
        </w:rPr>
        <w:t>  2024年是贯彻落实党的二十大精神的重要一年，是本市实施教育“十四五”规划的攻坚之年。上海教育督导工作要以习近平新时代中国特色社会主义思想为指导，坚持深入学习贯彻落实党的二十大精神、习近平总书记关于教育的重要论述和考察上海重要讲话精神，聚焦重点任务、加强资源整合、创新运行机制，持续强化督政、督学、评估监测等核心职能，不断提升督导实效，为上海教育改革发展稳定保驾护航。</w:t>
      </w:r>
    </w:p>
    <w:p>
      <w:pPr>
        <w:pStyle w:val="5"/>
        <w:keepNext w:val="0"/>
        <w:keepLines w:val="0"/>
        <w:widowControl/>
        <w:suppressLineNumbers w:val="0"/>
        <w:spacing w:before="0" w:beforeAutospacing="0" w:after="0" w:afterAutospacing="0" w:line="384" w:lineRule="atLeast"/>
        <w:ind w:left="0" w:right="0"/>
      </w:pPr>
      <w:r>
        <w:rPr>
          <w:rFonts w:hint="default" w:ascii="Arial" w:hAnsi="Arial" w:cs="Arial"/>
          <w:i w:val="0"/>
          <w:iCs w:val="0"/>
          <w:caps w:val="0"/>
          <w:color w:val="333333"/>
          <w:spacing w:val="0"/>
          <w:sz w:val="19"/>
          <w:szCs w:val="19"/>
        </w:rPr>
        <w:t>  一、强化督政引领功能，推进教育优先发展</w:t>
      </w:r>
    </w:p>
    <w:p>
      <w:pPr>
        <w:pStyle w:val="5"/>
        <w:keepNext w:val="0"/>
        <w:keepLines w:val="0"/>
        <w:widowControl/>
        <w:suppressLineNumbers w:val="0"/>
        <w:spacing w:before="0" w:beforeAutospacing="0" w:after="0" w:afterAutospacing="0" w:line="384" w:lineRule="atLeast"/>
        <w:ind w:left="0" w:right="0"/>
      </w:pPr>
      <w:r>
        <w:rPr>
          <w:rFonts w:hint="default" w:ascii="Arial" w:hAnsi="Arial" w:cs="Arial"/>
          <w:i w:val="0"/>
          <w:iCs w:val="0"/>
          <w:caps w:val="0"/>
          <w:color w:val="333333"/>
          <w:spacing w:val="0"/>
          <w:sz w:val="19"/>
          <w:szCs w:val="19"/>
        </w:rPr>
        <w:t>  1.加强区政府依法履行教育职责评价年度监测。完成2023年度监测工作，形成各区履行教育职责公示公报、各区年度报告。加强结果运用，赴部分区开展调研，推动问题整改。启动新一轮监测工作，不断优化工作模式，完善监测指标体系，调整数据采集模式，形成每年年初开展评价的机制。</w:t>
      </w:r>
    </w:p>
    <w:p>
      <w:pPr>
        <w:pStyle w:val="5"/>
        <w:keepNext w:val="0"/>
        <w:keepLines w:val="0"/>
        <w:widowControl/>
        <w:suppressLineNumbers w:val="0"/>
        <w:spacing w:before="0" w:beforeAutospacing="0" w:after="0" w:afterAutospacing="0" w:line="384" w:lineRule="atLeast"/>
        <w:ind w:left="0" w:right="0"/>
      </w:pPr>
      <w:r>
        <w:rPr>
          <w:rFonts w:hint="default" w:ascii="Arial" w:hAnsi="Arial" w:cs="Arial"/>
          <w:i w:val="0"/>
          <w:iCs w:val="0"/>
          <w:caps w:val="0"/>
          <w:color w:val="333333"/>
          <w:spacing w:val="0"/>
          <w:sz w:val="19"/>
          <w:szCs w:val="19"/>
        </w:rPr>
        <w:t>  2.推进全国义务教育优质均衡发展区创建。持续开展年度监测，升级核心指标预警系统，优化监测报告反馈机制。强化属地责任，持续推进创建工作，加强实地调研，指导各区补短板、提质量、增资源、促均衡。分享已创建成功区的经验案例，推动10个区积极申报，完成省级督导评估，配合做好申报区的国家实地核查工作。</w:t>
      </w:r>
    </w:p>
    <w:p>
      <w:pPr>
        <w:pStyle w:val="5"/>
        <w:keepNext w:val="0"/>
        <w:keepLines w:val="0"/>
        <w:widowControl/>
        <w:suppressLineNumbers w:val="0"/>
        <w:spacing w:before="0" w:beforeAutospacing="0" w:after="0" w:afterAutospacing="0" w:line="384" w:lineRule="atLeast"/>
        <w:ind w:left="0" w:right="0"/>
      </w:pPr>
      <w:r>
        <w:rPr>
          <w:rFonts w:hint="default" w:ascii="Arial" w:hAnsi="Arial" w:cs="Arial"/>
          <w:i w:val="0"/>
          <w:iCs w:val="0"/>
          <w:caps w:val="0"/>
          <w:color w:val="333333"/>
          <w:spacing w:val="0"/>
          <w:sz w:val="19"/>
          <w:szCs w:val="19"/>
        </w:rPr>
        <w:t>  3.推进学前教育普及普惠督导评估工作。坚持以“导”促“督”，深化开展学前教育普及普惠发展状况的年度监测，指导各区补短板、增资源、强保障。搭建交流平台，分享已通过国家督导认定区的典型经验，推动各区扎实开展自评，完成对奉贤、虹口等区的省级督导评估。指导2024年申报区做好国家督导认定的各项准备工作。</w:t>
      </w:r>
    </w:p>
    <w:p>
      <w:pPr>
        <w:pStyle w:val="5"/>
        <w:keepNext w:val="0"/>
        <w:keepLines w:val="0"/>
        <w:widowControl/>
        <w:suppressLineNumbers w:val="0"/>
        <w:spacing w:before="0" w:beforeAutospacing="0" w:after="0" w:afterAutospacing="0" w:line="384" w:lineRule="atLeast"/>
        <w:ind w:left="0" w:right="0"/>
      </w:pPr>
      <w:r>
        <w:rPr>
          <w:rFonts w:hint="default" w:ascii="Arial" w:hAnsi="Arial" w:cs="Arial"/>
          <w:i w:val="0"/>
          <w:iCs w:val="0"/>
          <w:caps w:val="0"/>
          <w:color w:val="333333"/>
          <w:spacing w:val="0"/>
          <w:sz w:val="19"/>
          <w:szCs w:val="19"/>
        </w:rPr>
        <w:t>  二、推进督学和质量监测提质增效，营造良好教育生态</w:t>
      </w:r>
    </w:p>
    <w:p>
      <w:pPr>
        <w:pStyle w:val="5"/>
        <w:keepNext w:val="0"/>
        <w:keepLines w:val="0"/>
        <w:widowControl/>
        <w:suppressLineNumbers w:val="0"/>
        <w:spacing w:before="0" w:beforeAutospacing="0" w:after="0" w:afterAutospacing="0" w:line="384" w:lineRule="atLeast"/>
        <w:ind w:left="0" w:right="0"/>
      </w:pPr>
      <w:r>
        <w:rPr>
          <w:rFonts w:hint="default" w:ascii="Arial" w:hAnsi="Arial" w:cs="Arial"/>
          <w:i w:val="0"/>
          <w:iCs w:val="0"/>
          <w:caps w:val="0"/>
          <w:color w:val="333333"/>
          <w:spacing w:val="0"/>
          <w:sz w:val="19"/>
          <w:szCs w:val="19"/>
        </w:rPr>
        <w:t>  4.深化基础教育督学工作。加强“双减”工作督导，实现以督促减、以督增效。围绕“校园安全”等重点、难点问题，开展主题性督导。加大对基础教育学校发展性督导评价的指导力度。探索开展实验性示范性高中高质量发展评估，提升优质高中的改革发展引领力。推进中小学幼儿园校（园）长任期结束综合督导评估试点，总结推广经验，推进结果运用。推进基础教育督学数据的整合、挖掘和深度分析。</w:t>
      </w:r>
    </w:p>
    <w:p>
      <w:pPr>
        <w:pStyle w:val="5"/>
        <w:keepNext w:val="0"/>
        <w:keepLines w:val="0"/>
        <w:widowControl/>
        <w:suppressLineNumbers w:val="0"/>
        <w:spacing w:before="0" w:beforeAutospacing="0" w:after="0" w:afterAutospacing="0" w:line="384" w:lineRule="atLeast"/>
        <w:ind w:left="0" w:right="0"/>
      </w:pPr>
      <w:r>
        <w:rPr>
          <w:rFonts w:hint="default" w:ascii="Arial" w:hAnsi="Arial" w:cs="Arial"/>
          <w:i w:val="0"/>
          <w:iCs w:val="0"/>
          <w:caps w:val="0"/>
          <w:color w:val="333333"/>
          <w:spacing w:val="0"/>
          <w:sz w:val="19"/>
          <w:szCs w:val="19"/>
        </w:rPr>
        <w:t>  5.推进实施“绿色指标”评价工作。发布上海市义务教育质量绿色指标评价实施方案（2024年修订版），完善评价内容，优化评价方式，强化评价结果运用。组织实施本市初中学段“绿色指标”评价工作，形成市、区、校年度监测报告，指导各区推进基于评价结果的教育教学改进。启动本市小学学段“绿色指标”评价测评工具研发。</w:t>
      </w:r>
    </w:p>
    <w:p>
      <w:pPr>
        <w:pStyle w:val="5"/>
        <w:keepNext w:val="0"/>
        <w:keepLines w:val="0"/>
        <w:widowControl/>
        <w:suppressLineNumbers w:val="0"/>
        <w:spacing w:before="0" w:beforeAutospacing="0" w:after="0" w:afterAutospacing="0" w:line="384" w:lineRule="atLeast"/>
        <w:ind w:left="0" w:right="0"/>
      </w:pPr>
      <w:r>
        <w:rPr>
          <w:rFonts w:hint="default" w:ascii="Arial" w:hAnsi="Arial" w:cs="Arial"/>
          <w:i w:val="0"/>
          <w:iCs w:val="0"/>
          <w:caps w:val="0"/>
          <w:color w:val="333333"/>
          <w:spacing w:val="0"/>
          <w:sz w:val="19"/>
          <w:szCs w:val="19"/>
        </w:rPr>
        <w:t>  6.实施国家基础教育质量监测。根据教育部基础教育质量监测中心工作安排，做好2024年国家义务教育质量和高中教育质量监测现场测试的组织实施工作。向相关样本区反馈2023年度监测主要问题清单，推动各区建立健全基于国家义务教育质量和高中教育质量监测结果的教学改进机制。</w:t>
      </w:r>
    </w:p>
    <w:p>
      <w:pPr>
        <w:pStyle w:val="5"/>
        <w:keepNext w:val="0"/>
        <w:keepLines w:val="0"/>
        <w:widowControl/>
        <w:suppressLineNumbers w:val="0"/>
        <w:spacing w:before="0" w:beforeAutospacing="0" w:after="0" w:afterAutospacing="0" w:line="384" w:lineRule="atLeast"/>
        <w:ind w:left="0" w:right="0"/>
      </w:pPr>
      <w:r>
        <w:rPr>
          <w:rFonts w:hint="default" w:ascii="Arial" w:hAnsi="Arial" w:cs="Arial"/>
          <w:i w:val="0"/>
          <w:iCs w:val="0"/>
          <w:caps w:val="0"/>
          <w:color w:val="333333"/>
          <w:spacing w:val="0"/>
          <w:sz w:val="19"/>
          <w:szCs w:val="19"/>
        </w:rPr>
        <w:t>  7.强化中职校督导评估工作。开展上海中职校专业质量监测，优化监测方式方法，加强监测结果运用。做好对学校自我评价体系构建的督促指导工作。</w:t>
      </w:r>
    </w:p>
    <w:p>
      <w:pPr>
        <w:pStyle w:val="5"/>
        <w:keepNext w:val="0"/>
        <w:keepLines w:val="0"/>
        <w:widowControl/>
        <w:suppressLineNumbers w:val="0"/>
        <w:spacing w:before="0" w:beforeAutospacing="0" w:after="0" w:afterAutospacing="0" w:line="384" w:lineRule="atLeast"/>
        <w:ind w:left="0" w:right="0"/>
      </w:pPr>
      <w:r>
        <w:rPr>
          <w:rFonts w:hint="default" w:ascii="Arial" w:hAnsi="Arial" w:cs="Arial"/>
          <w:i w:val="0"/>
          <w:iCs w:val="0"/>
          <w:caps w:val="0"/>
          <w:color w:val="333333"/>
          <w:spacing w:val="0"/>
          <w:sz w:val="19"/>
          <w:szCs w:val="19"/>
        </w:rPr>
        <w:t>  三、创新高等教育评价改革，提升高等教育服务力和贡献度</w:t>
      </w:r>
    </w:p>
    <w:p>
      <w:pPr>
        <w:pStyle w:val="5"/>
        <w:keepNext w:val="0"/>
        <w:keepLines w:val="0"/>
        <w:widowControl/>
        <w:suppressLineNumbers w:val="0"/>
        <w:spacing w:before="0" w:beforeAutospacing="0" w:after="0" w:afterAutospacing="0" w:line="384" w:lineRule="atLeast"/>
        <w:ind w:left="0" w:right="0"/>
      </w:pPr>
      <w:r>
        <w:rPr>
          <w:rFonts w:hint="default" w:ascii="Arial" w:hAnsi="Arial" w:cs="Arial"/>
          <w:i w:val="0"/>
          <w:iCs w:val="0"/>
          <w:caps w:val="0"/>
          <w:color w:val="333333"/>
          <w:spacing w:val="0"/>
          <w:sz w:val="19"/>
          <w:szCs w:val="19"/>
        </w:rPr>
        <w:t>  8.深化上海高校分类评价改革。构建“重点任务年度考核”“办学情况常态评价”“结合问题适时督导”三位一体的高校分类评价新模式。围绕全面提高人才自主培养质量、服务高水平科技自立自强和经济社会发展的高等教育综合改革要求，对高校开展“一校一案”的年度重点任务考核。发挥原分类评价指标的监测功能，引导高校提升综合办学能力。结合高等教育改革发展新要求、历年分类评价结果和学校需求，对部分高校开展实地督导调研。加强和拓展分类评价结果运用，提升高校办学绩效。</w:t>
      </w:r>
    </w:p>
    <w:p>
      <w:pPr>
        <w:pStyle w:val="5"/>
        <w:keepNext w:val="0"/>
        <w:keepLines w:val="0"/>
        <w:widowControl/>
        <w:suppressLineNumbers w:val="0"/>
        <w:spacing w:before="0" w:beforeAutospacing="0" w:after="0" w:afterAutospacing="0" w:line="384" w:lineRule="atLeast"/>
        <w:ind w:left="0" w:right="0"/>
      </w:pPr>
      <w:r>
        <w:rPr>
          <w:rFonts w:hint="default" w:ascii="Arial" w:hAnsi="Arial" w:cs="Arial"/>
          <w:i w:val="0"/>
          <w:iCs w:val="0"/>
          <w:caps w:val="0"/>
          <w:color w:val="333333"/>
          <w:spacing w:val="0"/>
          <w:sz w:val="19"/>
          <w:szCs w:val="19"/>
        </w:rPr>
        <w:t>  9.组织本科高校审核评估和合格评估工作。完成11所市属本科高校审核评估，征集遴选审核评估教育教学示范案例。指导上海立达学院有限公司接受教育部本科教学工作合格评估。</w:t>
      </w:r>
    </w:p>
    <w:p>
      <w:pPr>
        <w:pStyle w:val="5"/>
        <w:keepNext w:val="0"/>
        <w:keepLines w:val="0"/>
        <w:widowControl/>
        <w:suppressLineNumbers w:val="0"/>
        <w:spacing w:before="0" w:beforeAutospacing="0" w:after="0" w:afterAutospacing="0" w:line="384" w:lineRule="atLeast"/>
        <w:ind w:left="0" w:right="0"/>
      </w:pPr>
      <w:r>
        <w:rPr>
          <w:rFonts w:hint="default" w:ascii="Arial" w:hAnsi="Arial" w:cs="Arial"/>
          <w:i w:val="0"/>
          <w:iCs w:val="0"/>
          <w:caps w:val="0"/>
          <w:color w:val="333333"/>
          <w:spacing w:val="0"/>
          <w:sz w:val="19"/>
          <w:szCs w:val="19"/>
        </w:rPr>
        <w:t>  10.推进本科教育教学常态化监测。指导高校填报本科教学状态数据，编制发布本科教学质量年报，继续开展质量年报督导评议。推进高校本科教学质量常态监测，开展高校内部质量保障体系“3+3”监测。</w:t>
      </w:r>
    </w:p>
    <w:p>
      <w:pPr>
        <w:pStyle w:val="5"/>
        <w:keepNext w:val="0"/>
        <w:keepLines w:val="0"/>
        <w:widowControl/>
        <w:suppressLineNumbers w:val="0"/>
        <w:spacing w:before="0" w:beforeAutospacing="0" w:after="0" w:afterAutospacing="0" w:line="384" w:lineRule="atLeast"/>
        <w:ind w:left="0" w:right="0"/>
      </w:pPr>
      <w:r>
        <w:rPr>
          <w:rFonts w:hint="default" w:ascii="Arial" w:hAnsi="Arial" w:cs="Arial"/>
          <w:i w:val="0"/>
          <w:iCs w:val="0"/>
          <w:caps w:val="0"/>
          <w:color w:val="333333"/>
          <w:spacing w:val="0"/>
          <w:sz w:val="19"/>
          <w:szCs w:val="19"/>
        </w:rPr>
        <w:t>  11.开展本科毕业论文（设计）抽检。完成2023年本科毕业论文（设计）抽检结果分析，向高校反馈论文抽检结果。组织全市本科高校报送2024年本科毕业论文（设计）信息及专家库更新，完成专家评审。</w:t>
      </w:r>
    </w:p>
    <w:p>
      <w:pPr>
        <w:pStyle w:val="5"/>
        <w:keepNext w:val="0"/>
        <w:keepLines w:val="0"/>
        <w:widowControl/>
        <w:suppressLineNumbers w:val="0"/>
        <w:spacing w:before="0" w:beforeAutospacing="0" w:after="0" w:afterAutospacing="0" w:line="384" w:lineRule="atLeast"/>
        <w:ind w:left="0" w:right="0"/>
      </w:pPr>
      <w:r>
        <w:rPr>
          <w:rFonts w:hint="default" w:ascii="Arial" w:hAnsi="Arial" w:cs="Arial"/>
          <w:i w:val="0"/>
          <w:iCs w:val="0"/>
          <w:caps w:val="0"/>
          <w:color w:val="333333"/>
          <w:spacing w:val="0"/>
          <w:sz w:val="19"/>
          <w:szCs w:val="19"/>
        </w:rPr>
        <w:t>  四、强化教育督导保障，提高教育督导质量和水平</w:t>
      </w:r>
    </w:p>
    <w:p>
      <w:pPr>
        <w:pStyle w:val="5"/>
        <w:keepNext w:val="0"/>
        <w:keepLines w:val="0"/>
        <w:widowControl/>
        <w:suppressLineNumbers w:val="0"/>
        <w:spacing w:before="0" w:beforeAutospacing="0" w:after="0" w:afterAutospacing="0" w:line="384" w:lineRule="atLeast"/>
        <w:ind w:left="0" w:right="0"/>
      </w:pPr>
      <w:r>
        <w:rPr>
          <w:rFonts w:hint="default" w:ascii="Arial" w:hAnsi="Arial" w:cs="Arial"/>
          <w:i w:val="0"/>
          <w:iCs w:val="0"/>
          <w:caps w:val="0"/>
          <w:color w:val="333333"/>
          <w:spacing w:val="0"/>
          <w:sz w:val="19"/>
          <w:szCs w:val="19"/>
        </w:rPr>
        <w:t>  12.加强督学队伍建设。开展督学资格人员培训工作，强化对市、区两级专职督学及责任督学的日常管理，优化督学队伍结构。完成第八届上海市督学、第八届上海市特约教育督导员、第七届上海市人民教育督察员的选聘工作。</w:t>
      </w:r>
    </w:p>
    <w:p>
      <w:pPr>
        <w:pStyle w:val="5"/>
        <w:keepNext w:val="0"/>
        <w:keepLines w:val="0"/>
        <w:widowControl/>
        <w:suppressLineNumbers w:val="0"/>
        <w:spacing w:before="0" w:beforeAutospacing="0" w:after="0" w:afterAutospacing="0" w:line="384" w:lineRule="atLeast"/>
        <w:ind w:left="0" w:right="0"/>
      </w:pPr>
      <w:r>
        <w:rPr>
          <w:rFonts w:hint="default" w:ascii="Arial" w:hAnsi="Arial" w:cs="Arial"/>
          <w:i w:val="0"/>
          <w:iCs w:val="0"/>
          <w:caps w:val="0"/>
          <w:color w:val="333333"/>
          <w:spacing w:val="0"/>
          <w:sz w:val="19"/>
          <w:szCs w:val="19"/>
        </w:rPr>
        <w:t>  13.提升督导队伍履职能力。建立健全市级督学常态化参加督导工作机制，统筹安排特约教育督导员及人民教育督察员参与教育督导工作，发挥“两员”对教育工作的民主监督作用。指导上海市督导研究中心、上海教育学会教育督导专业委员会等机构开展相关工作，充分发挥其在前瞻研究、决策咨询、实践参与等方面的优势和作用。</w:t>
      </w:r>
    </w:p>
    <w:p>
      <w:pPr>
        <w:pStyle w:val="5"/>
        <w:keepNext w:val="0"/>
        <w:keepLines w:val="0"/>
        <w:widowControl/>
        <w:suppressLineNumbers w:val="0"/>
        <w:spacing w:before="0" w:beforeAutospacing="0" w:after="0" w:afterAutospacing="0" w:line="384" w:lineRule="atLeast"/>
        <w:ind w:left="0" w:right="0"/>
      </w:pPr>
      <w:r>
        <w:rPr>
          <w:rFonts w:hint="default" w:ascii="Arial" w:hAnsi="Arial" w:cs="Arial"/>
          <w:i w:val="0"/>
          <w:iCs w:val="0"/>
          <w:caps w:val="0"/>
          <w:color w:val="333333"/>
          <w:spacing w:val="0"/>
          <w:sz w:val="19"/>
          <w:szCs w:val="19"/>
        </w:rPr>
        <w:t>  14.推进教育督导数字化转型。推进上海教育督查工作平台应用，优化模块内容，加强系统应用，深化数据赋能，以数字化变革引领教育督导高质量发展。</w:t>
      </w:r>
    </w:p>
    <w:p>
      <w:pPr>
        <w:pStyle w:val="5"/>
        <w:keepNext w:val="0"/>
        <w:keepLines w:val="0"/>
        <w:widowControl/>
        <w:suppressLineNumbers w:val="0"/>
        <w:spacing w:before="0" w:beforeAutospacing="0" w:after="0" w:afterAutospacing="0" w:line="384" w:lineRule="atLeast"/>
        <w:ind w:left="0" w:right="0"/>
      </w:pPr>
      <w:r>
        <w:rPr>
          <w:rFonts w:hint="default" w:ascii="Arial" w:hAnsi="Arial" w:cs="Arial"/>
          <w:i w:val="0"/>
          <w:iCs w:val="0"/>
          <w:caps w:val="0"/>
          <w:color w:val="333333"/>
          <w:spacing w:val="0"/>
          <w:sz w:val="19"/>
          <w:szCs w:val="19"/>
        </w:rPr>
        <w:t> </w:t>
      </w:r>
    </w:p>
    <w:p>
      <w:pPr>
        <w:pStyle w:val="5"/>
        <w:keepNext w:val="0"/>
        <w:keepLines w:val="0"/>
        <w:widowControl/>
        <w:suppressLineNumbers w:val="0"/>
        <w:spacing w:before="0" w:beforeAutospacing="0" w:after="0" w:afterAutospacing="0" w:line="384" w:lineRule="atLeast"/>
        <w:ind w:left="0" w:right="0"/>
      </w:pPr>
      <w:r>
        <w:rPr>
          <w:rFonts w:hint="default" w:ascii="Arial" w:hAnsi="Arial" w:cs="Arial"/>
          <w:i w:val="0"/>
          <w:iCs w:val="0"/>
          <w:caps w:val="0"/>
          <w:color w:val="333333"/>
          <w:spacing w:val="0"/>
          <w:sz w:val="19"/>
          <w:szCs w:val="19"/>
        </w:rPr>
        <w:t> </w:t>
      </w:r>
    </w:p>
    <w:p>
      <w:pPr>
        <w:pStyle w:val="5"/>
        <w:keepNext w:val="0"/>
        <w:keepLines w:val="0"/>
        <w:widowControl/>
        <w:suppressLineNumbers w:val="0"/>
        <w:spacing w:before="0" w:beforeAutospacing="0" w:after="0" w:afterAutospacing="0" w:line="384" w:lineRule="atLeast"/>
        <w:ind w:left="0" w:right="0"/>
      </w:pPr>
      <w:r>
        <w:rPr>
          <w:rFonts w:hint="default" w:ascii="Arial" w:hAnsi="Arial" w:cs="Arial"/>
          <w:i w:val="0"/>
          <w:iCs w:val="0"/>
          <w:caps w:val="0"/>
          <w:color w:val="333333"/>
          <w:spacing w:val="0"/>
          <w:sz w:val="19"/>
          <w:szCs w:val="19"/>
        </w:rPr>
        <w:t> </w:t>
      </w:r>
    </w:p>
    <w:p>
      <w:pPr>
        <w:pStyle w:val="5"/>
        <w:keepNext w:val="0"/>
        <w:keepLines w:val="0"/>
        <w:widowControl/>
        <w:suppressLineNumbers w:val="0"/>
        <w:spacing w:before="0" w:beforeAutospacing="0" w:after="0" w:afterAutospacing="0" w:line="384" w:lineRule="atLeast"/>
        <w:ind w:left="0" w:right="0"/>
      </w:pPr>
      <w:r>
        <w:rPr>
          <w:rFonts w:hint="default" w:ascii="Arial" w:hAnsi="Arial" w:cs="Arial"/>
          <w:i w:val="0"/>
          <w:iCs w:val="0"/>
          <w:caps w:val="0"/>
          <w:color w:val="333333"/>
          <w:spacing w:val="0"/>
          <w:sz w:val="19"/>
          <w:szCs w:val="19"/>
        </w:rPr>
        <w:t> </w:t>
      </w:r>
    </w:p>
    <w:tbl>
      <w:tblPr>
        <w:tblpPr w:vertAnchor="text" w:tblpXSpec="left"/>
        <w:tblW w:w="10476" w:type="dxa"/>
        <w:tblInd w:w="0" w:type="dxa"/>
        <w:tblBorders>
          <w:top w:val="single" w:color="999999" w:sz="4" w:space="0"/>
          <w:left w:val="single" w:color="999999" w:sz="4" w:space="0"/>
          <w:bottom w:val="single" w:color="999999" w:sz="4" w:space="0"/>
          <w:right w:val="single" w:color="999999" w:sz="4" w:space="0"/>
          <w:insideH w:val="none" w:color="auto" w:sz="0" w:space="0"/>
          <w:insideV w:val="none" w:color="auto" w:sz="0" w:space="0"/>
        </w:tblBorders>
        <w:shd w:val="clear"/>
        <w:tblLayout w:type="autofit"/>
        <w:tblCellMar>
          <w:top w:w="15" w:type="dxa"/>
          <w:left w:w="15" w:type="dxa"/>
          <w:bottom w:w="15" w:type="dxa"/>
          <w:right w:w="15" w:type="dxa"/>
        </w:tblCellMar>
      </w:tblPr>
      <w:tblGrid>
        <w:gridCol w:w="4907"/>
        <w:gridCol w:w="5569"/>
      </w:tblGrid>
      <w:tr>
        <w:tblPrEx>
          <w:tblBorders>
            <w:top w:val="single" w:color="999999" w:sz="4" w:space="0"/>
            <w:left w:val="single" w:color="999999" w:sz="4" w:space="0"/>
            <w:bottom w:val="single" w:color="999999" w:sz="4" w:space="0"/>
            <w:right w:val="single" w:color="999999" w:sz="4" w:space="0"/>
            <w:insideH w:val="none" w:color="auto" w:sz="0" w:space="0"/>
            <w:insideV w:val="none" w:color="auto" w:sz="0" w:space="0"/>
          </w:tblBorders>
          <w:shd w:val="clear"/>
          <w:tblCellMar>
            <w:top w:w="15" w:type="dxa"/>
            <w:left w:w="15" w:type="dxa"/>
            <w:bottom w:w="15" w:type="dxa"/>
            <w:right w:w="15" w:type="dxa"/>
          </w:tblCellMar>
        </w:tblPrEx>
        <w:tc>
          <w:tcPr>
            <w:tcW w:w="4098" w:type="dxa"/>
            <w:tcBorders>
              <w:top w:val="single" w:color="auto" w:sz="12" w:space="0"/>
              <w:left w:val="nil"/>
              <w:bottom w:val="single" w:color="auto" w:sz="12" w:space="0"/>
              <w:right w:val="nil"/>
            </w:tcBorders>
            <w:shd w:val="clear"/>
            <w:tcMar>
              <w:top w:w="0" w:type="dxa"/>
              <w:left w:w="108" w:type="dxa"/>
              <w:bottom w:w="0" w:type="dxa"/>
              <w:right w:w="108" w:type="dxa"/>
            </w:tcMar>
            <w:vAlign w:val="center"/>
          </w:tcPr>
          <w:p>
            <w:pPr>
              <w:pStyle w:val="5"/>
              <w:keepNext w:val="0"/>
              <w:keepLines w:val="0"/>
              <w:widowControl/>
              <w:suppressLineNumbers w:val="0"/>
              <w:wordWrap/>
              <w:spacing w:before="0" w:beforeAutospacing="0" w:after="0" w:afterAutospacing="0"/>
              <w:ind w:left="0" w:right="0"/>
            </w:pPr>
            <w:r>
              <w:rPr>
                <w:sz w:val="16"/>
                <w:szCs w:val="16"/>
              </w:rPr>
              <w:t>上海市教育委员会办公室</w:t>
            </w:r>
          </w:p>
        </w:tc>
        <w:tc>
          <w:tcPr>
            <w:tcW w:w="4650" w:type="dxa"/>
            <w:tcBorders>
              <w:top w:val="single" w:color="auto" w:sz="12" w:space="0"/>
              <w:left w:val="nil"/>
              <w:bottom w:val="single" w:color="auto" w:sz="12" w:space="0"/>
              <w:right w:val="nil"/>
            </w:tcBorders>
            <w:shd w:val="clear"/>
            <w:tcMar>
              <w:top w:w="0" w:type="dxa"/>
              <w:left w:w="108" w:type="dxa"/>
              <w:bottom w:w="0" w:type="dxa"/>
              <w:right w:w="108" w:type="dxa"/>
            </w:tcMar>
            <w:vAlign w:val="center"/>
          </w:tcPr>
          <w:p>
            <w:pPr>
              <w:pStyle w:val="5"/>
              <w:keepNext w:val="0"/>
              <w:keepLines w:val="0"/>
              <w:widowControl/>
              <w:suppressLineNumbers w:val="0"/>
              <w:wordWrap/>
              <w:spacing w:before="0" w:beforeAutospacing="0" w:after="0" w:afterAutospacing="0"/>
              <w:ind w:left="0" w:right="0"/>
              <w:jc w:val="right"/>
            </w:pPr>
            <w:r>
              <w:rPr>
                <w:sz w:val="16"/>
                <w:szCs w:val="16"/>
              </w:rPr>
              <w:t>2024年4月12日印发</w:t>
            </w:r>
          </w:p>
        </w:tc>
      </w:tr>
    </w:tbl>
    <w:p>
      <w:pPr>
        <w:keepNext w:val="0"/>
        <w:keepLines w:val="0"/>
        <w:widowControl/>
        <w:suppressLineNumbers w:val="0"/>
        <w:spacing w:before="324" w:beforeAutospacing="0"/>
        <w:ind w:left="0" w:firstLine="0"/>
        <w:jc w:val="lef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C40619"/>
    <w:multiLevelType w:val="singleLevel"/>
    <w:tmpl w:val="B6C40619"/>
    <w:lvl w:ilvl="0" w:tentative="0">
      <w:start w:val="1"/>
      <w:numFmt w:val="chineseCounting"/>
      <w:pStyle w:val="3"/>
      <w:suff w:val="nothing"/>
      <w:lvlText w:val="（%1）"/>
      <w:lvlJc w:val="left"/>
      <w:pPr>
        <w:ind w:left="0" w:firstLine="420"/>
      </w:pPr>
      <w:rPr>
        <w:rFonts w:hint="eastAsia"/>
      </w:rPr>
    </w:lvl>
  </w:abstractNum>
  <w:abstractNum w:abstractNumId="1">
    <w:nsid w:val="E1F2F812"/>
    <w:multiLevelType w:val="singleLevel"/>
    <w:tmpl w:val="E1F2F812"/>
    <w:lvl w:ilvl="0" w:tentative="0">
      <w:start w:val="1"/>
      <w:numFmt w:val="chineseCounting"/>
      <w:pStyle w:val="2"/>
      <w:suff w:val="nothing"/>
      <w:lvlText w:val="%1、"/>
      <w:lvlJc w:val="left"/>
      <w:pPr>
        <w:ind w:left="0" w:firstLine="420"/>
      </w:pPr>
      <w:rPr>
        <w:rFonts w:hint="eastAsia"/>
      </w:rPr>
    </w:lvl>
  </w:abstractNum>
  <w:abstractNum w:abstractNumId="2">
    <w:nsid w:val="6EB0FC0A"/>
    <w:multiLevelType w:val="singleLevel"/>
    <w:tmpl w:val="6EB0FC0A"/>
    <w:lvl w:ilvl="0" w:tentative="0">
      <w:start w:val="1"/>
      <w:numFmt w:val="decimal"/>
      <w:pStyle w:val="4"/>
      <w:lvlText w:val="(%1)"/>
      <w:lvlJc w:val="left"/>
      <w:pPr>
        <w:ind w:left="425" w:hanging="425"/>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FiZmZiYTAzZTEyODBhMWU0ZTA2NTRjZjIxOWNiMWQifQ=="/>
  </w:docVars>
  <w:rsids>
    <w:rsidRoot w:val="5248465B"/>
    <w:rsid w:val="048D449A"/>
    <w:rsid w:val="0C3901C1"/>
    <w:rsid w:val="0D306AF8"/>
    <w:rsid w:val="249C572D"/>
    <w:rsid w:val="2BDB2FAA"/>
    <w:rsid w:val="51EC35AD"/>
    <w:rsid w:val="5248465B"/>
    <w:rsid w:val="6A610371"/>
    <w:rsid w:val="6B0E7C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numPr>
        <w:ilvl w:val="0"/>
        <w:numId w:val="1"/>
      </w:numPr>
      <w:spacing w:before="340" w:beforeLines="0" w:beforeAutospacing="0" w:after="330" w:afterLines="0" w:afterAutospacing="0" w:line="576" w:lineRule="auto"/>
      <w:outlineLvl w:val="0"/>
    </w:pPr>
    <w:rPr>
      <w:rFonts w:asciiTheme="minorAscii" w:hAnsiTheme="minorAscii"/>
      <w:b/>
      <w:kern w:val="44"/>
      <w:sz w:val="32"/>
    </w:rPr>
  </w:style>
  <w:style w:type="paragraph" w:styleId="3">
    <w:name w:val="heading 2"/>
    <w:basedOn w:val="1"/>
    <w:next w:val="1"/>
    <w:link w:val="10"/>
    <w:autoRedefine/>
    <w:semiHidden/>
    <w:unhideWhenUsed/>
    <w:qFormat/>
    <w:uiPriority w:val="0"/>
    <w:pPr>
      <w:keepNext/>
      <w:keepLines/>
      <w:numPr>
        <w:ilvl w:val="0"/>
        <w:numId w:val="2"/>
      </w:numPr>
      <w:spacing w:before="260" w:after="260" w:line="416" w:lineRule="auto"/>
      <w:jc w:val="left"/>
      <w:outlineLvl w:val="1"/>
    </w:pPr>
    <w:rPr>
      <w:rFonts w:eastAsia="仿宋" w:asciiTheme="majorAscii" w:hAnsiTheme="majorAscii" w:cstheme="majorBidi"/>
      <w:b/>
      <w:bCs/>
      <w:sz w:val="32"/>
      <w:szCs w:val="32"/>
      <w14:ligatures w14:val="standardContextual"/>
    </w:rPr>
  </w:style>
  <w:style w:type="paragraph" w:styleId="4">
    <w:name w:val="heading 3"/>
    <w:basedOn w:val="1"/>
    <w:next w:val="1"/>
    <w:link w:val="11"/>
    <w:semiHidden/>
    <w:unhideWhenUsed/>
    <w:qFormat/>
    <w:uiPriority w:val="0"/>
    <w:pPr>
      <w:keepNext/>
      <w:keepLines/>
      <w:numPr>
        <w:ilvl w:val="0"/>
        <w:numId w:val="3"/>
      </w:numPr>
      <w:spacing w:before="260" w:after="260" w:line="416" w:lineRule="auto"/>
      <w:outlineLvl w:val="2"/>
    </w:pPr>
    <w:rPr>
      <w:rFonts w:eastAsia="仿宋" w:asciiTheme="minorAscii" w:hAnsiTheme="minorAscii"/>
      <w:b/>
      <w:bCs/>
      <w:sz w:val="30"/>
      <w:szCs w:val="32"/>
      <w14:ligatures w14:val="standardContextual"/>
    </w:rPr>
  </w:style>
  <w:style w:type="character" w:default="1" w:styleId="7">
    <w:name w:val="Default Paragraph Font"/>
    <w:semiHidden/>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uiPriority w:val="0"/>
    <w:rPr>
      <w:color w:val="0000FF"/>
      <w:u w:val="single"/>
    </w:rPr>
  </w:style>
  <w:style w:type="character" w:customStyle="1" w:styleId="10">
    <w:name w:val="标题 2 字符"/>
    <w:basedOn w:val="7"/>
    <w:link w:val="3"/>
    <w:autoRedefine/>
    <w:qFormat/>
    <w:uiPriority w:val="9"/>
    <w:rPr>
      <w:rFonts w:eastAsia="仿宋" w:asciiTheme="majorAscii" w:hAnsiTheme="majorAscii" w:cstheme="majorBidi"/>
      <w:b/>
      <w:bCs/>
      <w:sz w:val="32"/>
      <w:szCs w:val="32"/>
      <w14:ligatures w14:val="standardContextual"/>
    </w:rPr>
  </w:style>
  <w:style w:type="character" w:customStyle="1" w:styleId="11">
    <w:name w:val="标题 3 字符"/>
    <w:basedOn w:val="7"/>
    <w:link w:val="4"/>
    <w:autoRedefine/>
    <w:qFormat/>
    <w:uiPriority w:val="9"/>
    <w:rPr>
      <w:rFonts w:eastAsia="仿宋" w:asciiTheme="minorAscii" w:hAnsiTheme="minorAscii"/>
      <w:b/>
      <w:bCs/>
      <w:sz w:val="30"/>
      <w:szCs w:val="32"/>
      <w14:ligatures w14:val="standardContextual"/>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2024-04-23T06:47:00Z</dcterms:created>
  <dc:creator>向往</dc:creator>
  <cp:lastModifiedBy>向往</cp:lastModifiedBy>
  <dcterms:modified xsi:type="dcterms:W3CDTF">2024-04-23T06:47:42Z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C08A479233FC4E269EA8311261D6D208_11</vt:lpwstr>
  </property>
</Properties>
</file>